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7E8777">
      <w:pPr>
        <w:pStyle w:val="3"/>
        <w:bidi w:val="0"/>
        <w:jc w:val="center"/>
        <w:rPr>
          <w:rFonts w:hint="default" w:eastAsiaTheme="minorEastAsia"/>
          <w:b w:val="0"/>
          <w:bCs/>
          <w:lang w:val="en-US" w:eastAsia="zh-CN"/>
        </w:rPr>
      </w:pPr>
      <w:r>
        <w:rPr>
          <w:rFonts w:hint="eastAsia"/>
          <w:b w:val="0"/>
          <w:bCs/>
          <w:lang w:val="en-US" w:eastAsia="zh-CN"/>
        </w:rPr>
        <w:t>张家口市公共资源交易系统</w:t>
      </w:r>
      <w:r>
        <w:rPr>
          <w:rFonts w:hint="eastAsia"/>
          <w:b/>
          <w:bCs w:val="0"/>
          <w:lang w:val="en-US" w:eastAsia="zh-CN"/>
        </w:rPr>
        <w:t>政府</w:t>
      </w:r>
      <w:bookmarkStart w:id="0" w:name="_GoBack"/>
      <w:bookmarkEnd w:id="0"/>
      <w:r>
        <w:rPr>
          <w:rFonts w:hint="eastAsia"/>
          <w:b/>
          <w:bCs w:val="0"/>
          <w:lang w:val="en-US" w:eastAsia="zh-CN"/>
        </w:rPr>
        <w:t>采购公开招标</w:t>
      </w:r>
    </w:p>
    <w:p w14:paraId="5D1C2B29">
      <w:pPr>
        <w:pStyle w:val="3"/>
        <w:bidi w:val="0"/>
        <w:jc w:val="center"/>
        <w:rPr>
          <w:rFonts w:hint="eastAsia"/>
          <w:b w:val="0"/>
          <w:bCs/>
          <w:lang w:val="en-US" w:eastAsia="zh-CN"/>
        </w:rPr>
      </w:pPr>
      <w:r>
        <w:rPr>
          <w:rFonts w:hint="eastAsia"/>
          <w:b w:val="0"/>
          <w:bCs/>
          <w:lang w:val="en-US" w:eastAsia="zh-CN"/>
        </w:rPr>
        <w:t>评标专家操作手册</w:t>
      </w:r>
    </w:p>
    <w:p w14:paraId="6E66944F">
      <w:pPr>
        <w:tabs>
          <w:tab w:val="left" w:pos="312"/>
        </w:tabs>
        <w:rPr>
          <w:rFonts w:hint="eastAsia"/>
          <w:b/>
          <w:lang w:val="en-US" w:eastAsia="zh-CN"/>
        </w:rPr>
      </w:pPr>
    </w:p>
    <w:p w14:paraId="32C4614D">
      <w:pPr>
        <w:numPr>
          <w:ilvl w:val="0"/>
          <w:numId w:val="1"/>
        </w:numPr>
        <w:rPr>
          <w:b/>
          <w:bCs/>
        </w:rPr>
      </w:pPr>
      <w:r>
        <w:rPr>
          <w:rFonts w:hint="eastAsia"/>
        </w:rPr>
        <w:t>专家登陆：使用</w:t>
      </w:r>
      <w:r>
        <w:rPr>
          <w:rFonts w:hint="eastAsia"/>
          <w:lang w:val="en-US" w:eastAsia="zh-CN"/>
        </w:rPr>
        <w:t>全省统一登录地址进行登录，地址为：http://10.254.90.190:8095/znsb_mcbase_new/xmgl/unifiedlogin/login，登录后在项目列表进入项目。</w:t>
      </w:r>
    </w:p>
    <w:p w14:paraId="360AB9BC">
      <w:pPr>
        <w:rPr>
          <w:rFonts w:hint="eastAsia" w:eastAsiaTheme="minorEastAsia"/>
          <w:lang w:eastAsia="zh-CN"/>
        </w:rPr>
      </w:pPr>
      <w:r>
        <w:rPr>
          <w:rFonts w:hint="eastAsia" w:eastAsiaTheme="minorEastAsia"/>
          <w:lang w:eastAsia="zh-CN"/>
        </w:rPr>
        <w:drawing>
          <wp:inline distT="0" distB="0" distL="114300" distR="114300">
            <wp:extent cx="5262245" cy="2880995"/>
            <wp:effectExtent l="0" t="0" r="10795" b="14605"/>
            <wp:docPr id="18" name="图片 18" descr="54e247675e5dc3dda0d7c2187ba5d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4e247675e5dc3dda0d7c2187ba5d29"/>
                    <pic:cNvPicPr>
                      <a:picLocks noChangeAspect="1"/>
                    </pic:cNvPicPr>
                  </pic:nvPicPr>
                  <pic:blipFill>
                    <a:blip r:embed="rId4"/>
                    <a:stretch>
                      <a:fillRect/>
                    </a:stretch>
                  </pic:blipFill>
                  <pic:spPr>
                    <a:xfrm>
                      <a:off x="0" y="0"/>
                      <a:ext cx="5262245" cy="2880995"/>
                    </a:xfrm>
                    <a:prstGeom prst="rect">
                      <a:avLst/>
                    </a:prstGeom>
                  </pic:spPr>
                </pic:pic>
              </a:graphicData>
            </a:graphic>
          </wp:inline>
        </w:drawing>
      </w:r>
    </w:p>
    <w:p w14:paraId="0FBE6CB8">
      <w:pPr>
        <w:rPr>
          <w:rFonts w:hint="eastAsia" w:eastAsiaTheme="minorEastAsia"/>
          <w:lang w:eastAsia="zh-CN"/>
        </w:rPr>
      </w:pPr>
      <w:r>
        <w:rPr>
          <w:rFonts w:hint="default"/>
          <w:lang w:val="en-US" w:eastAsia="zh-CN"/>
        </w:rPr>
        <w:drawing>
          <wp:inline distT="0" distB="0" distL="114300" distR="114300">
            <wp:extent cx="5266690" cy="2471420"/>
            <wp:effectExtent l="0" t="0" r="6350" b="12700"/>
            <wp:docPr id="1" name="图片 1" descr="进入项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进入项目"/>
                    <pic:cNvPicPr>
                      <a:picLocks noChangeAspect="1"/>
                    </pic:cNvPicPr>
                  </pic:nvPicPr>
                  <pic:blipFill>
                    <a:blip r:embed="rId5"/>
                    <a:stretch>
                      <a:fillRect/>
                    </a:stretch>
                  </pic:blipFill>
                  <pic:spPr>
                    <a:xfrm>
                      <a:off x="0" y="0"/>
                      <a:ext cx="5266690" cy="2471420"/>
                    </a:xfrm>
                    <a:prstGeom prst="rect">
                      <a:avLst/>
                    </a:prstGeom>
                  </pic:spPr>
                </pic:pic>
              </a:graphicData>
            </a:graphic>
          </wp:inline>
        </w:drawing>
      </w:r>
    </w:p>
    <w:p w14:paraId="26E26F05"/>
    <w:p w14:paraId="0B6E8F97">
      <w:pPr>
        <w:numPr>
          <w:ilvl w:val="0"/>
          <w:numId w:val="1"/>
        </w:numPr>
        <w:rPr>
          <w:rFonts w:hint="eastAsia" w:eastAsiaTheme="minorEastAsia"/>
          <w:lang w:val="en-US" w:eastAsia="zh-CN"/>
        </w:rPr>
      </w:pPr>
      <w:r>
        <w:rPr>
          <w:rFonts w:hint="eastAsia"/>
          <w:lang w:val="en-US" w:eastAsia="zh-CN"/>
        </w:rPr>
        <w:t>登录后可以通过</w:t>
      </w:r>
      <w:r>
        <w:rPr>
          <w:rFonts w:hint="eastAsia"/>
        </w:rPr>
        <w:t>左侧【快捷功能】</w:t>
      </w:r>
      <w:r>
        <w:rPr>
          <w:rFonts w:hint="eastAsia"/>
          <w:lang w:val="en-US" w:eastAsia="zh-CN"/>
        </w:rPr>
        <w:t>菜单打开</w:t>
      </w:r>
      <w:r>
        <w:rPr>
          <w:rFonts w:hint="eastAsia"/>
        </w:rPr>
        <w:t>查看招投标文件</w:t>
      </w:r>
    </w:p>
    <w:p w14:paraId="6DDF451E">
      <w:r>
        <w:drawing>
          <wp:inline distT="0" distB="0" distL="114300" distR="114300">
            <wp:extent cx="5266690" cy="2825750"/>
            <wp:effectExtent l="0" t="0" r="6350" b="889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266690" cy="2825750"/>
                    </a:xfrm>
                    <a:prstGeom prst="rect">
                      <a:avLst/>
                    </a:prstGeom>
                    <a:noFill/>
                    <a:ln>
                      <a:noFill/>
                    </a:ln>
                  </pic:spPr>
                </pic:pic>
              </a:graphicData>
            </a:graphic>
          </wp:inline>
        </w:drawing>
      </w:r>
    </w:p>
    <w:p w14:paraId="57400E83">
      <w:r>
        <w:rPr>
          <w:rFonts w:hint="eastAsia"/>
          <w:b/>
          <w:bCs/>
          <w:color w:val="FF0000"/>
          <w:sz w:val="24"/>
          <w:szCs w:val="32"/>
          <w:lang w:val="en-US" w:eastAsia="zh-CN"/>
        </w:rPr>
        <w:t>注：登录进入项目后，点击右上角【视频会议】按钮，进入音视频会议，</w:t>
      </w:r>
      <w:r>
        <w:rPr>
          <w:rFonts w:hint="eastAsia" w:asciiTheme="minorHAnsi" w:eastAsiaTheme="minorEastAsia"/>
          <w:b/>
          <w:bCs/>
          <w:color w:val="FF0000"/>
          <w:sz w:val="24"/>
          <w:szCs w:val="32"/>
          <w:lang w:val="en-US" w:eastAsia="zh-CN"/>
        </w:rPr>
        <w:t>可以</w:t>
      </w:r>
      <w:r>
        <w:rPr>
          <w:rFonts w:hint="eastAsia"/>
          <w:b/>
          <w:bCs/>
          <w:color w:val="FF0000"/>
          <w:sz w:val="24"/>
          <w:szCs w:val="32"/>
          <w:lang w:val="en-US" w:eastAsia="zh-CN"/>
        </w:rPr>
        <w:t>进行音视频遮脸变声匿名沟通交流。</w:t>
      </w:r>
    </w:p>
    <w:p w14:paraId="55009AE1">
      <w:pPr>
        <w:numPr>
          <w:ilvl w:val="0"/>
          <w:numId w:val="1"/>
        </w:numPr>
      </w:pPr>
      <w:r>
        <w:rPr>
          <w:rFonts w:hint="eastAsia"/>
          <w:lang w:val="en-US" w:eastAsia="zh-CN"/>
        </w:rPr>
        <w:t>评标准备：</w:t>
      </w:r>
    </w:p>
    <w:p w14:paraId="2695B74D">
      <w:pPr>
        <w:numPr>
          <w:ilvl w:val="0"/>
          <w:numId w:val="0"/>
        </w:numPr>
      </w:pPr>
      <w:r>
        <w:rPr>
          <w:rFonts w:hint="eastAsia"/>
        </w:rPr>
        <w:t>资格评审</w:t>
      </w:r>
      <w:r>
        <w:rPr>
          <w:rFonts w:hint="eastAsia"/>
          <w:lang w:val="en-US" w:eastAsia="zh-CN"/>
        </w:rPr>
        <w:t>由甲方代表进行评审，资格评审</w:t>
      </w:r>
      <w:r>
        <w:rPr>
          <w:rFonts w:hint="eastAsia"/>
        </w:rPr>
        <w:t>环节完成后，点击评标准备</w:t>
      </w:r>
      <w:r>
        <w:rPr>
          <w:rFonts w:hint="eastAsia"/>
          <w:b/>
        </w:rPr>
        <w:t>设置回避</w:t>
      </w:r>
      <w:r>
        <w:rPr>
          <w:rFonts w:hint="eastAsia"/>
        </w:rPr>
        <w:t>并</w:t>
      </w:r>
      <w:r>
        <w:rPr>
          <w:rFonts w:hint="eastAsia"/>
          <w:b/>
        </w:rPr>
        <w:t>推选组长</w:t>
      </w:r>
      <w:r>
        <w:rPr>
          <w:rFonts w:hint="eastAsia"/>
        </w:rPr>
        <w:t>。</w:t>
      </w:r>
    </w:p>
    <w:p w14:paraId="1A00A15A">
      <w:pPr>
        <w:tabs>
          <w:tab w:val="left" w:pos="312"/>
        </w:tabs>
      </w:pPr>
      <w:r>
        <w:rPr>
          <w:rFonts w:hint="eastAsia"/>
        </w:rPr>
        <w:t>（1）评委回避按钮，如不需要回避，直接点击【不需要回避按钮】即可</w:t>
      </w:r>
    </w:p>
    <w:p w14:paraId="5316726B">
      <w:pPr>
        <w:tabs>
          <w:tab w:val="left" w:pos="312"/>
        </w:tabs>
      </w:pPr>
      <w:r>
        <w:rPr>
          <w:rFonts w:hint="eastAsia"/>
        </w:rPr>
        <w:t>（2）推荐评委负责人，选择某个评委点击【确认推荐】即可，全部推荐完成后，刷新页面系统会自动根据推荐情况确定组长</w:t>
      </w:r>
    </w:p>
    <w:p w14:paraId="10444305">
      <w:r>
        <w:drawing>
          <wp:inline distT="0" distB="0" distL="114300" distR="114300">
            <wp:extent cx="5262880" cy="2684145"/>
            <wp:effectExtent l="0" t="0" r="10160" b="133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262880" cy="2684145"/>
                    </a:xfrm>
                    <a:prstGeom prst="rect">
                      <a:avLst/>
                    </a:prstGeom>
                    <a:noFill/>
                    <a:ln>
                      <a:noFill/>
                    </a:ln>
                  </pic:spPr>
                </pic:pic>
              </a:graphicData>
            </a:graphic>
          </wp:inline>
        </w:drawing>
      </w:r>
    </w:p>
    <w:p w14:paraId="0C529AC4">
      <w:r>
        <w:drawing>
          <wp:inline distT="0" distB="0" distL="114300" distR="114300">
            <wp:extent cx="5266690" cy="2825750"/>
            <wp:effectExtent l="0" t="0" r="6350" b="889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5266690" cy="2825750"/>
                    </a:xfrm>
                    <a:prstGeom prst="rect">
                      <a:avLst/>
                    </a:prstGeom>
                    <a:noFill/>
                    <a:ln>
                      <a:noFill/>
                    </a:ln>
                  </pic:spPr>
                </pic:pic>
              </a:graphicData>
            </a:graphic>
          </wp:inline>
        </w:drawing>
      </w:r>
    </w:p>
    <w:p w14:paraId="6C15EB8F"/>
    <w:p w14:paraId="49D6407D"/>
    <w:p w14:paraId="1B83C6F7"/>
    <w:p w14:paraId="226F579D"/>
    <w:p w14:paraId="1549FEF6"/>
    <w:p w14:paraId="166AB76E"/>
    <w:p w14:paraId="38A39574"/>
    <w:p w14:paraId="6E811645"/>
    <w:p w14:paraId="3338C10F"/>
    <w:p w14:paraId="106601C7"/>
    <w:p w14:paraId="05A2F070">
      <w:pPr>
        <w:numPr>
          <w:ilvl w:val="0"/>
          <w:numId w:val="1"/>
        </w:numPr>
      </w:pPr>
      <w:r>
        <w:rPr>
          <w:rFonts w:hint="eastAsia"/>
        </w:rPr>
        <w:t>项目评审</w:t>
      </w:r>
    </w:p>
    <w:p w14:paraId="22F4700F">
      <w:pPr>
        <w:tabs>
          <w:tab w:val="left" w:pos="312"/>
        </w:tabs>
      </w:pPr>
      <w:r>
        <w:rPr>
          <w:rFonts w:hint="eastAsia"/>
        </w:rPr>
        <w:t>4.1、符合性评审</w:t>
      </w:r>
      <w:r>
        <w:rPr>
          <w:rFonts w:hint="eastAsia"/>
          <w:b/>
          <w:bCs/>
          <w:color w:val="FF0000"/>
          <w:lang w:eastAsia="zh-CN"/>
        </w:rPr>
        <w:t>（</w:t>
      </w:r>
      <w:r>
        <w:rPr>
          <w:rFonts w:hint="eastAsia"/>
          <w:b/>
          <w:bCs/>
          <w:color w:val="FF0000"/>
          <w:lang w:val="en-US" w:eastAsia="zh-CN"/>
        </w:rPr>
        <w:t>明标</w:t>
      </w:r>
      <w:r>
        <w:rPr>
          <w:rFonts w:hint="eastAsia"/>
          <w:b/>
          <w:bCs/>
          <w:color w:val="FF0000"/>
          <w:lang w:eastAsia="zh-CN"/>
        </w:rPr>
        <w:t>）</w:t>
      </w:r>
      <w:r>
        <w:rPr>
          <w:rFonts w:hint="eastAsia"/>
        </w:rPr>
        <w:t>：点击符合性评审按钮，对每个单位进行符合性评审，点击单位下方的</w:t>
      </w:r>
      <w:r>
        <w:drawing>
          <wp:inline distT="0" distB="0" distL="0" distR="0">
            <wp:extent cx="335280" cy="243840"/>
            <wp:effectExtent l="0" t="0" r="762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335309" cy="243861"/>
                    </a:xfrm>
                    <a:prstGeom prst="rect">
                      <a:avLst/>
                    </a:prstGeom>
                  </pic:spPr>
                </pic:pic>
              </a:graphicData>
            </a:graphic>
          </wp:inline>
        </w:drawing>
      </w:r>
      <w:r>
        <w:rPr>
          <w:rFonts w:hint="eastAsia"/>
        </w:rPr>
        <w:t>按钮可进行一键通过设置，点击</w:t>
      </w:r>
      <w:r>
        <w:drawing>
          <wp:inline distT="0" distB="0" distL="0" distR="0">
            <wp:extent cx="335280" cy="228600"/>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335309" cy="228620"/>
                    </a:xfrm>
                    <a:prstGeom prst="rect">
                      <a:avLst/>
                    </a:prstGeom>
                  </pic:spPr>
                </pic:pic>
              </a:graphicData>
            </a:graphic>
          </wp:inline>
        </w:drawing>
      </w:r>
      <w:r>
        <w:rPr>
          <w:rFonts w:hint="eastAsia"/>
        </w:rPr>
        <w:t>按钮可进行一键不通过设置。评审完后点击【确认提交】按钮进行提交。</w:t>
      </w:r>
    </w:p>
    <w:p w14:paraId="276880FB">
      <w:r>
        <w:drawing>
          <wp:inline distT="0" distB="0" distL="114300" distR="114300">
            <wp:extent cx="5240020" cy="2606040"/>
            <wp:effectExtent l="0" t="0" r="254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1"/>
                    <a:stretch>
                      <a:fillRect/>
                    </a:stretch>
                  </pic:blipFill>
                  <pic:spPr>
                    <a:xfrm>
                      <a:off x="0" y="0"/>
                      <a:ext cx="5240020" cy="2606040"/>
                    </a:xfrm>
                    <a:prstGeom prst="rect">
                      <a:avLst/>
                    </a:prstGeom>
                    <a:noFill/>
                    <a:ln>
                      <a:noFill/>
                    </a:ln>
                  </pic:spPr>
                </pic:pic>
              </a:graphicData>
            </a:graphic>
          </wp:inline>
        </w:drawing>
      </w:r>
    </w:p>
    <w:p w14:paraId="58A03ED9">
      <w:r>
        <w:drawing>
          <wp:inline distT="0" distB="0" distL="114300" distR="114300">
            <wp:extent cx="5266690" cy="2825750"/>
            <wp:effectExtent l="0" t="0" r="6350" b="889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2"/>
                    <a:stretch>
                      <a:fillRect/>
                    </a:stretch>
                  </pic:blipFill>
                  <pic:spPr>
                    <a:xfrm>
                      <a:off x="0" y="0"/>
                      <a:ext cx="5266690" cy="2825750"/>
                    </a:xfrm>
                    <a:prstGeom prst="rect">
                      <a:avLst/>
                    </a:prstGeom>
                    <a:noFill/>
                    <a:ln>
                      <a:noFill/>
                    </a:ln>
                  </pic:spPr>
                </pic:pic>
              </a:graphicData>
            </a:graphic>
          </wp:inline>
        </w:drawing>
      </w:r>
    </w:p>
    <w:p w14:paraId="7947509F">
      <w:r>
        <w:rPr>
          <w:rFonts w:hint="eastAsia"/>
        </w:rPr>
        <w:t>4.2、所有评委符合性评审提交后，可进行符合性评审汇总（</w:t>
      </w:r>
      <w:r>
        <w:rPr>
          <w:rFonts w:hint="eastAsia"/>
          <w:b/>
          <w:color w:val="FF0000"/>
        </w:rPr>
        <w:t>组长操作</w:t>
      </w:r>
      <w:r>
        <w:rPr>
          <w:rFonts w:hint="eastAsia"/>
        </w:rPr>
        <w:t>），如下：</w:t>
      </w:r>
    </w:p>
    <w:p w14:paraId="3FF49CCB">
      <w:r>
        <w:drawing>
          <wp:inline distT="0" distB="0" distL="114300" distR="114300">
            <wp:extent cx="5266690" cy="2825750"/>
            <wp:effectExtent l="0" t="0" r="6350" b="889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3"/>
                    <a:stretch>
                      <a:fillRect/>
                    </a:stretch>
                  </pic:blipFill>
                  <pic:spPr>
                    <a:xfrm>
                      <a:off x="0" y="0"/>
                      <a:ext cx="5266690" cy="2825750"/>
                    </a:xfrm>
                    <a:prstGeom prst="rect">
                      <a:avLst/>
                    </a:prstGeom>
                    <a:noFill/>
                    <a:ln>
                      <a:noFill/>
                    </a:ln>
                  </pic:spPr>
                </pic:pic>
              </a:graphicData>
            </a:graphic>
          </wp:inline>
        </w:drawing>
      </w:r>
    </w:p>
    <w:p w14:paraId="31E3DFD0">
      <w:r>
        <w:rPr>
          <w:rFonts w:hint="eastAsia"/>
        </w:rPr>
        <w:t>4.3、如符合性评审汇总后，有效投标单位不足3家，点击【确认流标】按钮设置废标，并点击【推送无效文件原因】推送废标单位的废标原因。</w:t>
      </w:r>
    </w:p>
    <w:p w14:paraId="61C259F1">
      <w:r>
        <w:drawing>
          <wp:inline distT="0" distB="0" distL="114300" distR="114300">
            <wp:extent cx="5853430" cy="3140710"/>
            <wp:effectExtent l="0" t="0" r="0" b="254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4"/>
                    <a:stretch>
                      <a:fillRect/>
                    </a:stretch>
                  </pic:blipFill>
                  <pic:spPr>
                    <a:xfrm>
                      <a:off x="0" y="0"/>
                      <a:ext cx="5856368" cy="3142131"/>
                    </a:xfrm>
                    <a:prstGeom prst="rect">
                      <a:avLst/>
                    </a:prstGeom>
                    <a:noFill/>
                    <a:ln>
                      <a:noFill/>
                    </a:ln>
                  </pic:spPr>
                </pic:pic>
              </a:graphicData>
            </a:graphic>
          </wp:inline>
        </w:drawing>
      </w:r>
    </w:p>
    <w:p w14:paraId="739F5A8F"/>
    <w:p w14:paraId="3B9F7B3E">
      <w:pPr>
        <w:numPr>
          <w:ilvl w:val="0"/>
          <w:numId w:val="2"/>
        </w:numPr>
        <w:rPr>
          <w:rFonts w:hint="eastAsia"/>
          <w:lang w:val="en-US" w:eastAsia="zh-CN"/>
        </w:rPr>
      </w:pPr>
      <w:r>
        <w:rPr>
          <w:rFonts w:hint="eastAsia"/>
          <w:lang w:val="en-US" w:eastAsia="zh-CN"/>
        </w:rPr>
        <w:t>技术标符合性评审：对暗标投标文件进行符合性审查</w:t>
      </w:r>
    </w:p>
    <w:p w14:paraId="65C88024">
      <w:pPr>
        <w:numPr>
          <w:ilvl w:val="0"/>
          <w:numId w:val="3"/>
        </w:numPr>
      </w:pPr>
      <w:r>
        <w:rPr>
          <w:rFonts w:hint="eastAsia"/>
          <w:lang w:val="en-US" w:eastAsia="zh-CN"/>
        </w:rPr>
        <w:t>评审专家点击</w:t>
      </w:r>
      <w:r>
        <w:drawing>
          <wp:inline distT="0" distB="0" distL="114300" distR="114300">
            <wp:extent cx="1021080" cy="236220"/>
            <wp:effectExtent l="0" t="0" r="0" b="762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5"/>
                    <a:stretch>
                      <a:fillRect/>
                    </a:stretch>
                  </pic:blipFill>
                  <pic:spPr>
                    <a:xfrm>
                      <a:off x="0" y="0"/>
                      <a:ext cx="1021080" cy="236220"/>
                    </a:xfrm>
                    <a:prstGeom prst="rect">
                      <a:avLst/>
                    </a:prstGeom>
                    <a:noFill/>
                    <a:ln>
                      <a:noFill/>
                    </a:ln>
                  </pic:spPr>
                </pic:pic>
              </a:graphicData>
            </a:graphic>
          </wp:inline>
        </w:drawing>
      </w:r>
      <w:r>
        <w:rPr>
          <w:rFonts w:hint="eastAsia"/>
          <w:lang w:val="en-US" w:eastAsia="zh-CN"/>
        </w:rPr>
        <w:t>按钮，对暗标投标文件进行符合性评审并提交，如下：</w:t>
      </w:r>
      <w:r>
        <w:drawing>
          <wp:inline distT="0" distB="0" distL="114300" distR="114300">
            <wp:extent cx="5791200" cy="3212465"/>
            <wp:effectExtent l="0" t="0" r="0" b="317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6"/>
                    <a:stretch>
                      <a:fillRect/>
                    </a:stretch>
                  </pic:blipFill>
                  <pic:spPr>
                    <a:xfrm>
                      <a:off x="0" y="0"/>
                      <a:ext cx="5791200" cy="3212465"/>
                    </a:xfrm>
                    <a:prstGeom prst="rect">
                      <a:avLst/>
                    </a:prstGeom>
                    <a:noFill/>
                    <a:ln>
                      <a:noFill/>
                    </a:ln>
                  </pic:spPr>
                </pic:pic>
              </a:graphicData>
            </a:graphic>
          </wp:inline>
        </w:drawing>
      </w:r>
    </w:p>
    <w:p w14:paraId="48B0F0F0">
      <w:pPr>
        <w:numPr>
          <w:ilvl w:val="0"/>
          <w:numId w:val="3"/>
        </w:numPr>
      </w:pPr>
      <w:r>
        <w:rPr>
          <w:rFonts w:hint="eastAsia"/>
          <w:lang w:val="en-US" w:eastAsia="zh-CN"/>
        </w:rPr>
        <w:t>所有专家提交后，由组长汇总，如下图</w:t>
      </w:r>
    </w:p>
    <w:p w14:paraId="2F866BE8">
      <w:pPr>
        <w:numPr>
          <w:ilvl w:val="0"/>
          <w:numId w:val="0"/>
        </w:numPr>
      </w:pPr>
    </w:p>
    <w:p w14:paraId="67D22A76">
      <w:pPr>
        <w:numPr>
          <w:ilvl w:val="0"/>
          <w:numId w:val="0"/>
        </w:numPr>
      </w:pPr>
      <w:r>
        <w:drawing>
          <wp:inline distT="0" distB="0" distL="114300" distR="114300">
            <wp:extent cx="5880100" cy="1316990"/>
            <wp:effectExtent l="0" t="0" r="0" b="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7"/>
                    <a:srcRect b="52713"/>
                    <a:stretch>
                      <a:fillRect/>
                    </a:stretch>
                  </pic:blipFill>
                  <pic:spPr>
                    <a:xfrm>
                      <a:off x="0" y="0"/>
                      <a:ext cx="5880100" cy="1316990"/>
                    </a:xfrm>
                    <a:prstGeom prst="rect">
                      <a:avLst/>
                    </a:prstGeom>
                    <a:noFill/>
                    <a:ln>
                      <a:noFill/>
                    </a:ln>
                  </pic:spPr>
                </pic:pic>
              </a:graphicData>
            </a:graphic>
          </wp:inline>
        </w:drawing>
      </w:r>
    </w:p>
    <w:p w14:paraId="2709FA34">
      <w:pPr>
        <w:numPr>
          <w:ilvl w:val="0"/>
          <w:numId w:val="3"/>
        </w:numPr>
      </w:pPr>
      <w:r>
        <w:rPr>
          <w:rFonts w:hint="eastAsia"/>
          <w:lang w:val="en-US" w:eastAsia="zh-CN"/>
        </w:rPr>
        <w:t>如存在技术标符合性需要废标的供应商，请组长在技术标符合性评审页面点击</w:t>
      </w:r>
      <w:r>
        <w:drawing>
          <wp:inline distT="0" distB="0" distL="114300" distR="114300">
            <wp:extent cx="701040" cy="259080"/>
            <wp:effectExtent l="0" t="0" r="0" b="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18"/>
                    <a:stretch>
                      <a:fillRect/>
                    </a:stretch>
                  </pic:blipFill>
                  <pic:spPr>
                    <a:xfrm>
                      <a:off x="0" y="0"/>
                      <a:ext cx="701040" cy="259080"/>
                    </a:xfrm>
                    <a:prstGeom prst="rect">
                      <a:avLst/>
                    </a:prstGeom>
                    <a:noFill/>
                    <a:ln>
                      <a:noFill/>
                    </a:ln>
                  </pic:spPr>
                </pic:pic>
              </a:graphicData>
            </a:graphic>
          </wp:inline>
        </w:drawing>
      </w:r>
      <w:r>
        <w:rPr>
          <w:rFonts w:hint="eastAsia"/>
          <w:lang w:val="en-US" w:eastAsia="zh-CN"/>
        </w:rPr>
        <w:t>按钮进行无效否决操作。</w:t>
      </w:r>
    </w:p>
    <w:p w14:paraId="548D63CD">
      <w:pPr>
        <w:numPr>
          <w:ilvl w:val="0"/>
          <w:numId w:val="0"/>
        </w:numPr>
      </w:pPr>
      <w:r>
        <w:drawing>
          <wp:inline distT="0" distB="0" distL="114300" distR="114300">
            <wp:extent cx="5822950" cy="1442085"/>
            <wp:effectExtent l="0" t="0" r="13970" b="5715"/>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19"/>
                    <a:stretch>
                      <a:fillRect/>
                    </a:stretch>
                  </pic:blipFill>
                  <pic:spPr>
                    <a:xfrm>
                      <a:off x="0" y="0"/>
                      <a:ext cx="5822950" cy="1442085"/>
                    </a:xfrm>
                    <a:prstGeom prst="rect">
                      <a:avLst/>
                    </a:prstGeom>
                    <a:noFill/>
                    <a:ln>
                      <a:noFill/>
                    </a:ln>
                  </pic:spPr>
                </pic:pic>
              </a:graphicData>
            </a:graphic>
          </wp:inline>
        </w:drawing>
      </w:r>
    </w:p>
    <w:p w14:paraId="052B04F2">
      <w:r>
        <w:drawing>
          <wp:inline distT="0" distB="0" distL="114300" distR="114300">
            <wp:extent cx="2306320" cy="1463040"/>
            <wp:effectExtent l="0" t="0" r="10160" b="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20"/>
                    <a:stretch>
                      <a:fillRect/>
                    </a:stretch>
                  </pic:blipFill>
                  <pic:spPr>
                    <a:xfrm>
                      <a:off x="0" y="0"/>
                      <a:ext cx="2306320" cy="1463040"/>
                    </a:xfrm>
                    <a:prstGeom prst="rect">
                      <a:avLst/>
                    </a:prstGeom>
                    <a:noFill/>
                    <a:ln>
                      <a:noFill/>
                    </a:ln>
                  </pic:spPr>
                </pic:pic>
              </a:graphicData>
            </a:graphic>
          </wp:inline>
        </w:drawing>
      </w:r>
    </w:p>
    <w:p w14:paraId="3F8FB42F">
      <w:pPr>
        <w:numPr>
          <w:ilvl w:val="0"/>
          <w:numId w:val="0"/>
        </w:numPr>
        <w:ind w:leftChars="0"/>
        <w:rPr>
          <w:rFonts w:hint="eastAsia"/>
          <w:lang w:eastAsia="zh-CN"/>
        </w:rPr>
      </w:pPr>
      <w:r>
        <w:rPr>
          <w:rFonts w:hint="eastAsia"/>
          <w:lang w:val="en-US" w:eastAsia="zh-CN"/>
        </w:rPr>
        <w:t>6、</w:t>
      </w:r>
      <w:r>
        <w:rPr>
          <w:rFonts w:hint="eastAsia"/>
        </w:rPr>
        <w:t>评委打分：</w:t>
      </w:r>
      <w:r>
        <w:rPr>
          <w:rFonts w:hint="eastAsia"/>
          <w:lang w:val="en-US" w:eastAsia="zh-CN"/>
        </w:rPr>
        <w:t>分为技术部分和商务部分两部分打分，</w:t>
      </w:r>
      <w:r>
        <w:rPr>
          <w:rFonts w:hint="eastAsia"/>
        </w:rPr>
        <w:t>根据评标办法</w:t>
      </w:r>
      <w:r>
        <w:rPr>
          <w:rFonts w:hint="eastAsia"/>
          <w:lang w:val="en-US" w:eastAsia="zh-CN"/>
        </w:rPr>
        <w:t>评审</w:t>
      </w:r>
      <w:r>
        <w:rPr>
          <w:rFonts w:hint="eastAsia"/>
        </w:rPr>
        <w:t>项内容对各单位进行打分即可，打分完成后</w:t>
      </w:r>
      <w:r>
        <w:rPr>
          <w:rFonts w:hint="eastAsia"/>
          <w:lang w:val="en-US" w:eastAsia="zh-CN"/>
        </w:rPr>
        <w:t>确认</w:t>
      </w:r>
      <w:r>
        <w:rPr>
          <w:rFonts w:hint="eastAsia"/>
        </w:rPr>
        <w:t>提交</w:t>
      </w:r>
      <w:r>
        <w:rPr>
          <w:rFonts w:hint="eastAsia"/>
          <w:lang w:eastAsia="zh-CN"/>
        </w:rPr>
        <w:t>。</w:t>
      </w:r>
    </w:p>
    <w:p w14:paraId="0D67721B">
      <w:pPr>
        <w:numPr>
          <w:ilvl w:val="0"/>
          <w:numId w:val="0"/>
        </w:numPr>
        <w:ind w:leftChars="0"/>
        <w:rPr>
          <w:rFonts w:hint="default"/>
          <w:b/>
          <w:bCs/>
          <w:color w:val="FF0000"/>
          <w:lang w:val="en-US" w:eastAsia="zh-CN"/>
        </w:rPr>
      </w:pPr>
      <w:r>
        <w:rPr>
          <w:rFonts w:hint="eastAsia"/>
          <w:b/>
          <w:bCs/>
          <w:color w:val="FF0000"/>
          <w:lang w:val="en-US" w:eastAsia="zh-CN"/>
        </w:rPr>
        <w:t>（1）技术部分打分盲评，看不到单位信息情况下打分提交。组长汇总</w:t>
      </w:r>
    </w:p>
    <w:p w14:paraId="1537D51C">
      <w:pPr>
        <w:numPr>
          <w:ilvl w:val="0"/>
          <w:numId w:val="0"/>
        </w:numPr>
        <w:ind w:leftChars="0"/>
      </w:pPr>
      <w:r>
        <w:drawing>
          <wp:inline distT="0" distB="0" distL="114300" distR="114300">
            <wp:extent cx="5483860" cy="2426970"/>
            <wp:effectExtent l="0" t="0" r="2540" b="1143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21"/>
                    <a:stretch>
                      <a:fillRect/>
                    </a:stretch>
                  </pic:blipFill>
                  <pic:spPr>
                    <a:xfrm>
                      <a:off x="0" y="0"/>
                      <a:ext cx="5483860" cy="2426970"/>
                    </a:xfrm>
                    <a:prstGeom prst="rect">
                      <a:avLst/>
                    </a:prstGeom>
                    <a:noFill/>
                    <a:ln>
                      <a:noFill/>
                    </a:ln>
                  </pic:spPr>
                </pic:pic>
              </a:graphicData>
            </a:graphic>
          </wp:inline>
        </w:drawing>
      </w:r>
    </w:p>
    <w:p w14:paraId="54F6DEC7">
      <w:pPr>
        <w:numPr>
          <w:ilvl w:val="0"/>
          <w:numId w:val="0"/>
        </w:numPr>
        <w:ind w:leftChars="0"/>
        <w:rPr>
          <w:rFonts w:hint="default" w:eastAsiaTheme="minorEastAsia"/>
          <w:lang w:val="en-US" w:eastAsia="zh-CN"/>
        </w:rPr>
      </w:pPr>
      <w:r>
        <w:rPr>
          <w:rFonts w:hint="eastAsia"/>
          <w:lang w:eastAsia="zh-CN"/>
        </w:rPr>
        <w:t>（</w:t>
      </w:r>
      <w:r>
        <w:rPr>
          <w:rFonts w:hint="eastAsia"/>
          <w:lang w:val="en-US" w:eastAsia="zh-CN"/>
        </w:rPr>
        <w:t>2</w:t>
      </w:r>
      <w:r>
        <w:rPr>
          <w:rFonts w:hint="eastAsia"/>
          <w:lang w:eastAsia="zh-CN"/>
        </w:rPr>
        <w:t>）</w:t>
      </w:r>
      <w:r>
        <w:rPr>
          <w:rFonts w:hint="eastAsia"/>
          <w:lang w:val="en-US" w:eastAsia="zh-CN"/>
        </w:rPr>
        <w:t>明标打分，提交后组长汇总</w:t>
      </w:r>
    </w:p>
    <w:p w14:paraId="7D169BC6">
      <w:pPr>
        <w:numPr>
          <w:ilvl w:val="0"/>
          <w:numId w:val="0"/>
        </w:numPr>
        <w:ind w:leftChars="0"/>
      </w:pPr>
      <w:r>
        <w:drawing>
          <wp:inline distT="0" distB="0" distL="114300" distR="114300">
            <wp:extent cx="5403215" cy="1321435"/>
            <wp:effectExtent l="0" t="0" r="6985" b="4445"/>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22"/>
                    <a:stretch>
                      <a:fillRect/>
                    </a:stretch>
                  </pic:blipFill>
                  <pic:spPr>
                    <a:xfrm>
                      <a:off x="0" y="0"/>
                      <a:ext cx="5403215" cy="1321435"/>
                    </a:xfrm>
                    <a:prstGeom prst="rect">
                      <a:avLst/>
                    </a:prstGeom>
                    <a:noFill/>
                    <a:ln>
                      <a:noFill/>
                    </a:ln>
                  </pic:spPr>
                </pic:pic>
              </a:graphicData>
            </a:graphic>
          </wp:inline>
        </w:drawing>
      </w:r>
    </w:p>
    <w:p w14:paraId="5CC04CDB">
      <w:r>
        <w:rPr>
          <w:rFonts w:hint="eastAsia"/>
          <w:b/>
          <w:bCs/>
          <w:color w:val="FF0000"/>
        </w:rPr>
        <w:t>所有评委打分完成提交之后组长进行汇总</w:t>
      </w:r>
      <w:r>
        <w:rPr>
          <w:rFonts w:hint="eastAsia"/>
        </w:rPr>
        <w:t>（点击商务</w:t>
      </w:r>
      <w:r>
        <w:rPr>
          <w:rFonts w:hint="eastAsia"/>
          <w:lang w:val="en-US" w:eastAsia="zh-CN"/>
        </w:rPr>
        <w:t>或</w:t>
      </w:r>
      <w:r>
        <w:rPr>
          <w:rFonts w:hint="eastAsia"/>
        </w:rPr>
        <w:t>技术评分汇总中的汇总按钮即可）</w:t>
      </w:r>
    </w:p>
    <w:p w14:paraId="1B90B56A"/>
    <w:p w14:paraId="66624836">
      <w:r>
        <w:drawing>
          <wp:inline distT="0" distB="0" distL="114300" distR="114300">
            <wp:extent cx="5266690" cy="1515745"/>
            <wp:effectExtent l="0" t="0" r="0" b="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23"/>
                    <a:srcRect b="46360"/>
                    <a:stretch>
                      <a:fillRect/>
                    </a:stretch>
                  </pic:blipFill>
                  <pic:spPr>
                    <a:xfrm>
                      <a:off x="0" y="0"/>
                      <a:ext cx="5266690" cy="1515745"/>
                    </a:xfrm>
                    <a:prstGeom prst="rect">
                      <a:avLst/>
                    </a:prstGeom>
                    <a:noFill/>
                    <a:ln>
                      <a:noFill/>
                    </a:ln>
                  </pic:spPr>
                </pic:pic>
              </a:graphicData>
            </a:graphic>
          </wp:inline>
        </w:drawing>
      </w:r>
    </w:p>
    <w:p w14:paraId="4C09B9C4"/>
    <w:p w14:paraId="1FA04FFB"/>
    <w:p w14:paraId="7D52510C"/>
    <w:p w14:paraId="1750F006"/>
    <w:p w14:paraId="632E4D5E">
      <w:r>
        <w:rPr>
          <w:rFonts w:hint="eastAsia"/>
          <w:lang w:val="en-US" w:eastAsia="zh-CN"/>
        </w:rPr>
        <w:t>7、</w:t>
      </w:r>
      <w:r>
        <w:rPr>
          <w:rFonts w:hint="eastAsia"/>
        </w:rPr>
        <w:t>报价分计算（组长操作）：直接点击【报价分计算】中的【计算】按钮，系统会根据报价分自动算分。</w:t>
      </w:r>
    </w:p>
    <w:p w14:paraId="5AF399E1">
      <w:r>
        <w:drawing>
          <wp:inline distT="0" distB="0" distL="114300" distR="114300">
            <wp:extent cx="5266690" cy="2825750"/>
            <wp:effectExtent l="0" t="0" r="6350" b="889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4"/>
                    <a:stretch>
                      <a:fillRect/>
                    </a:stretch>
                  </pic:blipFill>
                  <pic:spPr>
                    <a:xfrm>
                      <a:off x="0" y="0"/>
                      <a:ext cx="5266690" cy="2825750"/>
                    </a:xfrm>
                    <a:prstGeom prst="rect">
                      <a:avLst/>
                    </a:prstGeom>
                    <a:noFill/>
                    <a:ln>
                      <a:noFill/>
                    </a:ln>
                  </pic:spPr>
                </pic:pic>
              </a:graphicData>
            </a:graphic>
          </wp:inline>
        </w:drawing>
      </w:r>
    </w:p>
    <w:p w14:paraId="187E8899">
      <w:pPr>
        <w:rPr>
          <w:b/>
          <w:color w:val="FF0000"/>
        </w:rPr>
      </w:pPr>
      <w:r>
        <w:rPr>
          <w:rFonts w:hint="eastAsia"/>
          <w:b/>
          <w:color w:val="FF0000"/>
        </w:rPr>
        <w:t>如涉及报价优惠的情况，则需先设置优惠后报价在进行报价分计算。</w:t>
      </w:r>
    </w:p>
    <w:p w14:paraId="6ED4D46F">
      <w:pPr>
        <w:rPr>
          <w:color w:val="FF0000"/>
        </w:rPr>
      </w:pPr>
      <w:r>
        <w:rPr>
          <w:rFonts w:hint="eastAsia"/>
          <w:b/>
          <w:color w:val="FF0000"/>
        </w:rPr>
        <w:t>设置方法</w:t>
      </w:r>
      <w:r>
        <w:rPr>
          <w:rFonts w:hint="eastAsia"/>
          <w:color w:val="FF0000"/>
        </w:rPr>
        <w:t>（如下图）</w:t>
      </w:r>
    </w:p>
    <w:p w14:paraId="06456FBB">
      <w:pPr>
        <w:rPr>
          <w:color w:val="FF0000"/>
        </w:rPr>
      </w:pPr>
      <w:r>
        <w:rPr>
          <w:rFonts w:hint="eastAsia"/>
          <w:color w:val="FF0000"/>
        </w:rPr>
        <w:t>（1）返回到评标准备界面点击供应商信息确认</w:t>
      </w:r>
    </w:p>
    <w:p w14:paraId="0AC8853D">
      <w:pPr>
        <w:rPr>
          <w:color w:val="FF0000"/>
        </w:rPr>
      </w:pPr>
      <w:r>
        <w:rPr>
          <w:rFonts w:hint="eastAsia"/>
          <w:color w:val="FF0000"/>
        </w:rPr>
        <w:t>（2）针对需要优惠的单位选择政策性报价调整原因，并设置调整比例，如果原因中无适合选项，可选择其他，并在备注中填写优惠原因。</w:t>
      </w:r>
    </w:p>
    <w:p w14:paraId="34E0877A">
      <w:pPr>
        <w:rPr>
          <w:color w:val="FF0000"/>
        </w:rPr>
      </w:pPr>
      <w:r>
        <w:rPr>
          <w:rFonts w:hint="eastAsia"/>
          <w:color w:val="FF0000"/>
        </w:rPr>
        <w:t>（3）设置完成后，点击【保存信息】按钮，系统会按照比例自动算出调整后报价</w:t>
      </w:r>
    </w:p>
    <w:p w14:paraId="1BCAFC88">
      <w:pPr>
        <w:rPr>
          <w:color w:val="FF0000"/>
        </w:rPr>
      </w:pPr>
      <w:r>
        <w:rPr>
          <w:rFonts w:hint="eastAsia"/>
          <w:color w:val="FF0000"/>
        </w:rPr>
        <w:t>（4）再点击报价分计算中的计算按钮就会按照调整后的报价计算最终报价得分。</w:t>
      </w:r>
    </w:p>
    <w:p w14:paraId="6B6480F7">
      <w:r>
        <w:drawing>
          <wp:inline distT="0" distB="0" distL="114300" distR="114300">
            <wp:extent cx="5266690" cy="2825750"/>
            <wp:effectExtent l="0" t="0" r="6350" b="889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25"/>
                    <a:stretch>
                      <a:fillRect/>
                    </a:stretch>
                  </pic:blipFill>
                  <pic:spPr>
                    <a:xfrm>
                      <a:off x="0" y="0"/>
                      <a:ext cx="5266690" cy="2825750"/>
                    </a:xfrm>
                    <a:prstGeom prst="rect">
                      <a:avLst/>
                    </a:prstGeom>
                    <a:noFill/>
                    <a:ln>
                      <a:noFill/>
                    </a:ln>
                  </pic:spPr>
                </pic:pic>
              </a:graphicData>
            </a:graphic>
          </wp:inline>
        </w:drawing>
      </w:r>
    </w:p>
    <w:p w14:paraId="0EEF6DD9"/>
    <w:p w14:paraId="5A7C914C">
      <w:pPr>
        <w:rPr>
          <w:color w:val="FF0000"/>
        </w:rPr>
      </w:pPr>
      <w:r>
        <w:rPr>
          <w:rFonts w:hint="eastAsia"/>
          <w:color w:val="FF0000"/>
        </w:rPr>
        <w:t>如是部分优惠，需要点击【修正报价】，然后手动计算调整后报价录入后保存，如下</w:t>
      </w:r>
    </w:p>
    <w:p w14:paraId="3D4893FD">
      <w:r>
        <w:drawing>
          <wp:inline distT="0" distB="0" distL="114300" distR="114300">
            <wp:extent cx="5266690" cy="2825750"/>
            <wp:effectExtent l="0" t="0" r="6350" b="8890"/>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pic:cNvPicPr>
                  </pic:nvPicPr>
                  <pic:blipFill>
                    <a:blip r:embed="rId26"/>
                    <a:stretch>
                      <a:fillRect/>
                    </a:stretch>
                  </pic:blipFill>
                  <pic:spPr>
                    <a:xfrm>
                      <a:off x="0" y="0"/>
                      <a:ext cx="5266690" cy="2825750"/>
                    </a:xfrm>
                    <a:prstGeom prst="rect">
                      <a:avLst/>
                    </a:prstGeom>
                    <a:noFill/>
                    <a:ln>
                      <a:noFill/>
                    </a:ln>
                  </pic:spPr>
                </pic:pic>
              </a:graphicData>
            </a:graphic>
          </wp:inline>
        </w:drawing>
      </w:r>
    </w:p>
    <w:p w14:paraId="748076E1"/>
    <w:p w14:paraId="532696CB">
      <w:r>
        <w:rPr>
          <w:rFonts w:hint="eastAsia"/>
        </w:rPr>
        <w:t>7.同品牌确认【货物类】</w:t>
      </w:r>
      <w:r>
        <w:rPr>
          <w:rFonts w:hint="eastAsia"/>
          <w:color w:val="FF0000"/>
        </w:rPr>
        <w:t>（如没有则不需要操作，如果有同品牌则需要废掉哪家单位直接设置哪家单位为同品牌即可，保存后系统自动剔除已设置同品牌的单位）</w:t>
      </w:r>
      <w:r>
        <w:rPr>
          <w:rFonts w:hint="eastAsia"/>
        </w:rPr>
        <w:t>（组长操作）</w:t>
      </w:r>
    </w:p>
    <w:p w14:paraId="2A19DDBE">
      <w:r>
        <w:drawing>
          <wp:inline distT="0" distB="0" distL="114300" distR="114300">
            <wp:extent cx="5266690" cy="2825750"/>
            <wp:effectExtent l="0" t="0" r="6350" b="889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27"/>
                    <a:stretch>
                      <a:fillRect/>
                    </a:stretch>
                  </pic:blipFill>
                  <pic:spPr>
                    <a:xfrm>
                      <a:off x="0" y="0"/>
                      <a:ext cx="5266690" cy="2825750"/>
                    </a:xfrm>
                    <a:prstGeom prst="rect">
                      <a:avLst/>
                    </a:prstGeom>
                    <a:noFill/>
                    <a:ln>
                      <a:noFill/>
                    </a:ln>
                  </pic:spPr>
                </pic:pic>
              </a:graphicData>
            </a:graphic>
          </wp:inline>
        </w:drawing>
      </w:r>
    </w:p>
    <w:p w14:paraId="02FA5629">
      <w:r>
        <w:rPr>
          <w:rFonts w:hint="eastAsia"/>
        </w:rPr>
        <w:t>8.</w:t>
      </w:r>
      <w:r>
        <w:rPr>
          <w:rFonts w:hint="eastAsia"/>
          <w:color w:val="FF0000"/>
          <w:sz w:val="22"/>
        </w:rPr>
        <w:t>【</w:t>
      </w:r>
      <w:r>
        <w:rPr>
          <w:rFonts w:hint="eastAsia"/>
          <w:b/>
          <w:color w:val="FF0000"/>
          <w:sz w:val="22"/>
        </w:rPr>
        <w:t>重要！！！</w:t>
      </w:r>
      <w:r>
        <w:rPr>
          <w:rFonts w:hint="eastAsia"/>
          <w:color w:val="FF0000"/>
          <w:sz w:val="22"/>
        </w:rPr>
        <w:t>】</w:t>
      </w:r>
      <w:r>
        <w:rPr>
          <w:rFonts w:hint="eastAsia"/>
        </w:rPr>
        <w:t>最终排序（组长操作），为确保评标报告中标结果符合招标文件要求，请务必按照招标文件要求进行设置。</w:t>
      </w:r>
    </w:p>
    <w:p w14:paraId="59B1BD0E">
      <w:pPr>
        <w:rPr>
          <w:color w:val="FF0000"/>
        </w:rPr>
      </w:pPr>
      <w:r>
        <w:rPr>
          <w:rFonts w:hint="eastAsia"/>
          <w:color w:val="FF0000"/>
        </w:rPr>
        <w:t>（1）如果招标文件中要求评标委员会或委托评标委员会直接确定中标单位，请在【中标供应商】列选中，并点击左上角【保存中标供应商】按钮</w:t>
      </w:r>
    </w:p>
    <w:p w14:paraId="75A330D4">
      <w:pPr>
        <w:rPr>
          <w:color w:val="FF0000"/>
        </w:rPr>
      </w:pPr>
      <w:r>
        <w:rPr>
          <w:rFonts w:hint="eastAsia"/>
          <w:color w:val="FF0000"/>
        </w:rPr>
        <w:t>（2）如果评标报告中需要推荐前三名中标候选人，请在右上角推荐框中输入数字，并保存。</w:t>
      </w:r>
    </w:p>
    <w:p w14:paraId="63AC45C7"/>
    <w:p w14:paraId="39D06A74">
      <w:r>
        <w:drawing>
          <wp:inline distT="0" distB="0" distL="114300" distR="114300">
            <wp:extent cx="5266690" cy="1924050"/>
            <wp:effectExtent l="0" t="0" r="0" b="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28"/>
                    <a:srcRect b="31910"/>
                    <a:stretch>
                      <a:fillRect/>
                    </a:stretch>
                  </pic:blipFill>
                  <pic:spPr>
                    <a:xfrm>
                      <a:off x="0" y="0"/>
                      <a:ext cx="5266690" cy="1924050"/>
                    </a:xfrm>
                    <a:prstGeom prst="rect">
                      <a:avLst/>
                    </a:prstGeom>
                    <a:noFill/>
                    <a:ln>
                      <a:noFill/>
                    </a:ln>
                  </pic:spPr>
                </pic:pic>
              </a:graphicData>
            </a:graphic>
          </wp:inline>
        </w:drawing>
      </w:r>
    </w:p>
    <w:p w14:paraId="02E7945A"/>
    <w:p w14:paraId="0D25A04D">
      <w:r>
        <w:rPr>
          <w:rFonts w:hint="eastAsia"/>
        </w:rPr>
        <w:t>9.评标结果—》评委签章：第8步环节设置完成后，再点击评标结果中的评委签章，可以先点击操作列的按钮对各报告内容进行查看，无问题后，点击批量签章勾选所有报表进行签字。</w:t>
      </w:r>
    </w:p>
    <w:p w14:paraId="695D0BFC">
      <w:r>
        <w:drawing>
          <wp:inline distT="0" distB="0" distL="0" distR="0">
            <wp:extent cx="5274310" cy="233108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a:stretch>
                      <a:fillRect/>
                    </a:stretch>
                  </pic:blipFill>
                  <pic:spPr>
                    <a:xfrm>
                      <a:off x="0" y="0"/>
                      <a:ext cx="5274310" cy="2331318"/>
                    </a:xfrm>
                    <a:prstGeom prst="rect">
                      <a:avLst/>
                    </a:prstGeom>
                  </pic:spPr>
                </pic:pic>
              </a:graphicData>
            </a:graphic>
          </wp:inline>
        </w:drawing>
      </w:r>
    </w:p>
    <w:p w14:paraId="022FA930"/>
    <w:p w14:paraId="24D28049">
      <w:r>
        <w:rPr>
          <w:rFonts w:hint="eastAsia"/>
        </w:rPr>
        <w:t>1</w:t>
      </w:r>
      <w:r>
        <w:rPr>
          <w:rFonts w:hint="eastAsia"/>
          <w:lang w:val="en-US" w:eastAsia="zh-CN"/>
        </w:rPr>
        <w:t>0</w:t>
      </w:r>
      <w:r>
        <w:rPr>
          <w:rFonts w:hint="eastAsia"/>
        </w:rPr>
        <w:t>.评标结束（所有报告及评审表签字</w:t>
      </w:r>
      <w:r>
        <w:rPr>
          <w:rFonts w:hint="eastAsia"/>
          <w:lang w:val="en-US" w:eastAsia="zh-CN"/>
        </w:rPr>
        <w:t>完成</w:t>
      </w:r>
      <w:r>
        <w:rPr>
          <w:rFonts w:hint="eastAsia"/>
        </w:rPr>
        <w:t>，</w:t>
      </w:r>
      <w:r>
        <w:rPr>
          <w:rFonts w:hint="eastAsia"/>
          <w:lang w:val="en-US" w:eastAsia="zh-CN"/>
        </w:rPr>
        <w:t>招标代理机构检查无误后，招标代理</w:t>
      </w:r>
      <w:r>
        <w:rPr>
          <w:rFonts w:hint="eastAsia"/>
        </w:rPr>
        <w:t>点击评标结束按钮结束评标）</w:t>
      </w:r>
    </w:p>
    <w:p w14:paraId="214F9E41">
      <w:r>
        <w:drawing>
          <wp:inline distT="0" distB="0" distL="114300" distR="114300">
            <wp:extent cx="5591175" cy="2950210"/>
            <wp:effectExtent l="0" t="0" r="1905" b="6350"/>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30"/>
                    <a:stretch>
                      <a:fillRect/>
                    </a:stretch>
                  </pic:blipFill>
                  <pic:spPr>
                    <a:xfrm>
                      <a:off x="0" y="0"/>
                      <a:ext cx="5591175" cy="295021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BD5350"/>
    <w:multiLevelType w:val="singleLevel"/>
    <w:tmpl w:val="B4BD5350"/>
    <w:lvl w:ilvl="0" w:tentative="0">
      <w:start w:val="1"/>
      <w:numFmt w:val="decimal"/>
      <w:suff w:val="nothing"/>
      <w:lvlText w:val="（%1）"/>
      <w:lvlJc w:val="left"/>
    </w:lvl>
  </w:abstractNum>
  <w:abstractNum w:abstractNumId="1">
    <w:nsid w:val="FAD39450"/>
    <w:multiLevelType w:val="singleLevel"/>
    <w:tmpl w:val="FAD39450"/>
    <w:lvl w:ilvl="0" w:tentative="0">
      <w:start w:val="1"/>
      <w:numFmt w:val="decimal"/>
      <w:lvlText w:val="%1."/>
      <w:lvlJc w:val="left"/>
      <w:pPr>
        <w:tabs>
          <w:tab w:val="left" w:pos="312"/>
        </w:tabs>
      </w:pPr>
    </w:lvl>
  </w:abstractNum>
  <w:abstractNum w:abstractNumId="2">
    <w:nsid w:val="2599AB4C"/>
    <w:multiLevelType w:val="singleLevel"/>
    <w:tmpl w:val="2599AB4C"/>
    <w:lvl w:ilvl="0" w:tentative="0">
      <w:start w:val="5"/>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I0ODdkNzg0OTcyYzM0YTZhMDYxYmNjZmEwZDQ1NjQifQ=="/>
  </w:docVars>
  <w:rsids>
    <w:rsidRoot w:val="51737319"/>
    <w:rsid w:val="00043DC5"/>
    <w:rsid w:val="00267240"/>
    <w:rsid w:val="003B3713"/>
    <w:rsid w:val="0058528A"/>
    <w:rsid w:val="0067349E"/>
    <w:rsid w:val="006A5C7B"/>
    <w:rsid w:val="00943F78"/>
    <w:rsid w:val="00CE2EB2"/>
    <w:rsid w:val="00E32BB2"/>
    <w:rsid w:val="00EE3F38"/>
    <w:rsid w:val="00F61A9A"/>
    <w:rsid w:val="02684255"/>
    <w:rsid w:val="047F4A45"/>
    <w:rsid w:val="05765D87"/>
    <w:rsid w:val="06A26FE9"/>
    <w:rsid w:val="0D0763A6"/>
    <w:rsid w:val="0DB04C6E"/>
    <w:rsid w:val="114D4E7D"/>
    <w:rsid w:val="12DC6664"/>
    <w:rsid w:val="1E396C01"/>
    <w:rsid w:val="20C42E77"/>
    <w:rsid w:val="23F3353A"/>
    <w:rsid w:val="263A2B6C"/>
    <w:rsid w:val="29D318C2"/>
    <w:rsid w:val="2CAD599E"/>
    <w:rsid w:val="3006051C"/>
    <w:rsid w:val="32DF3351"/>
    <w:rsid w:val="364A355F"/>
    <w:rsid w:val="3DB159B2"/>
    <w:rsid w:val="4A847FAD"/>
    <w:rsid w:val="502C6C2D"/>
    <w:rsid w:val="51737319"/>
    <w:rsid w:val="54490D54"/>
    <w:rsid w:val="57224FB9"/>
    <w:rsid w:val="59017396"/>
    <w:rsid w:val="5CDD0A56"/>
    <w:rsid w:val="5DF924FD"/>
    <w:rsid w:val="6056593C"/>
    <w:rsid w:val="74A94BFE"/>
    <w:rsid w:val="7D7522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4">
    <w:name w:val="Date"/>
    <w:basedOn w:val="1"/>
    <w:next w:val="1"/>
    <w:link w:val="10"/>
    <w:qFormat/>
    <w:uiPriority w:val="0"/>
    <w:pPr>
      <w:ind w:left="100" w:leftChars="2500"/>
    </w:pPr>
  </w:style>
  <w:style w:type="paragraph" w:styleId="5">
    <w:name w:val="Balloon Text"/>
    <w:basedOn w:val="1"/>
    <w:link w:val="9"/>
    <w:qFormat/>
    <w:uiPriority w:val="0"/>
    <w:rPr>
      <w:sz w:val="18"/>
      <w:szCs w:val="18"/>
    </w:rPr>
  </w:style>
  <w:style w:type="character" w:styleId="8">
    <w:name w:val="Hyperlink"/>
    <w:basedOn w:val="7"/>
    <w:uiPriority w:val="0"/>
    <w:rPr>
      <w:color w:val="0000FF"/>
      <w:u w:val="single"/>
    </w:rPr>
  </w:style>
  <w:style w:type="character" w:customStyle="1" w:styleId="9">
    <w:name w:val="批注框文本 Char"/>
    <w:basedOn w:val="7"/>
    <w:link w:val="5"/>
    <w:qFormat/>
    <w:uiPriority w:val="0"/>
    <w:rPr>
      <w:kern w:val="2"/>
      <w:sz w:val="18"/>
      <w:szCs w:val="18"/>
    </w:rPr>
  </w:style>
  <w:style w:type="character" w:customStyle="1" w:styleId="10">
    <w:name w:val="日期 Char"/>
    <w:basedOn w:val="7"/>
    <w:link w:val="4"/>
    <w:qFormat/>
    <w:uiPriority w:val="0"/>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1364</Words>
  <Characters>1439</Characters>
  <Lines>9</Lines>
  <Paragraphs>2</Paragraphs>
  <TotalTime>1</TotalTime>
  <ScaleCrop>false</ScaleCrop>
  <LinksUpToDate>false</LinksUpToDate>
  <CharactersWithSpaces>1439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2021-12-23T08:51:00Z</dcterms:created>
  <dc:creator>灬T灬Z灬C灬</dc:creator>
  <cp:lastModifiedBy>＆流年</cp:lastModifiedBy>
  <dcterms:modified xsi:type="dcterms:W3CDTF">2025-03-31T06:41:24Z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6650B030EF774D1A8D83B0D7F1948B80_13</vt:lpwstr>
  </property>
  <property fmtid="{D5CDD505-2E9C-101B-9397-08002B2CF9AE}" pid="4" name="KSOTemplateDocerSaveRecord">
    <vt:lpwstr>eyJoZGlkIjoiZTMwMGY0OGVlNDQxYTg0YTRkOTk0NDYzZGQ3OGVkMDciLCJ1c2VySWQiOiIyMzc2NTI5OTkifQ==</vt:lpwstr>
  </property>
</Properties>
</file>