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1" o:spid="_x0000_s2051" o:spt="32" type="#_x0000_t32" style="position:absolute;left:0pt;flip:x;margin-left:260pt;margin-top:334.7pt;height:28.2pt;width:0.65pt;z-index:25176780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7pt;margin-top:204.3pt;height:51.75pt;width:0.05pt;z-index:2517125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45.35pt;margin-top:208.8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1.25pt;margin-top:226.3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8.2pt;margin-top:600.8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95pt;margin-top:643.55pt;height:97.6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>
                    <w:rPr>
                      <w:rFonts w:hint="eastAsia"/>
                      <w:lang w:eastAsia="zh-CN"/>
                    </w:rPr>
                    <w:t>《公路涉路工程准予施工证》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7.7pt;margin-top:501.8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9.5pt;margin-top:438.8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2.2pt;margin-top:363.8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2.5pt;margin-top:256.5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2.5pt;margin-top:204.8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95pt;margin-top:256.5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5.2pt;margin-top:176.3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60.45pt;margin-top:150.0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2.2pt;margin-top:100.5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2.2pt;margin-top:153.8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9.7pt;margin-top:151.5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跨越、穿越公路及在公路用地范围内架设、埋设管线、电缆等设施，或者利用公路桥梁、公路隧道、涵洞铺设电缆等设施许可</w: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17A7BB5"/>
    <w:rsid w:val="04371B65"/>
    <w:rsid w:val="188B3E20"/>
    <w:rsid w:val="6E64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7"/>
        <o:r id="V:Rule4" type="connector" idref="#_x0000_s2058"/>
        <o:r id="V:Rule5" type="connector" idref="#_x0000_s2059"/>
        <o:r id="V:Rule6" type="connector" idref="#_x0000_s2060"/>
        <o:r id="V:Rule7" type="connector" idref="#_x0000_s2072"/>
        <o:r id="V:Rule8" type="connector" idref="#_x0000_s2073"/>
        <o:r id="V:Rule9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82"/>
    <customShpInfo spid="_x0000_s2085"/>
    <customShpInfo spid="_x0000_s2059"/>
    <customShpInfo spid="_x0000_s2093"/>
    <customShpInfo spid="_x0000_s2089"/>
    <customShpInfo spid="_x0000_s2060"/>
    <customShpInfo spid="_x0000_s2054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今夜微凉</cp:lastModifiedBy>
  <cp:lastPrinted>2018-04-18T01:05:00Z</cp:lastPrinted>
  <dcterms:modified xsi:type="dcterms:W3CDTF">2018-09-13T06:16:55Z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