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.8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从事营利性治沙活动许可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完成实地核实</w:t>
                  </w:r>
                  <w:r>
                    <w:rPr>
                      <w:rFonts w:hint="eastAsia"/>
                      <w:lang w:eastAsia="zh-CN"/>
                    </w:rPr>
                    <w:t>及专家论证</w:t>
                  </w:r>
                  <w:r>
                    <w:rPr>
                      <w:rFonts w:hint="eastAsia"/>
                    </w:rPr>
                    <w:t>环节</w:t>
                  </w:r>
                  <w:r>
                    <w:rPr>
                      <w:rFonts w:hint="eastAsia"/>
                      <w:lang w:eastAsia="zh-CN"/>
                    </w:rPr>
                    <w:t>，出具实地核查意见及专家论证结论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EE45EA4"/>
    <w:rsid w:val="1B8C18D8"/>
    <w:rsid w:val="1C214CBB"/>
    <w:rsid w:val="34B60167"/>
    <w:rsid w:val="44C22353"/>
    <w:rsid w:val="7967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2018-05-22T01:35:00Z</cp:lastPrinted>
  <dcterms:modified xsi:type="dcterms:W3CDTF">2018-09-20T03:59:18Z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