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15.3pt;height:75pt;width:105pt;z-index:25167462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在承诺时限内对拖拉机、联合收割机现场查验，核实是否与申请材料一致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55.05pt;height:0.05pt;width:45.7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31pt;height:0pt;width:45.7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拖拉机、联合收割机注册登记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9.05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1.45pt;margin-top:444.95pt;height:73.5pt;width:213.75pt;z-index:25167257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换发《行驶证》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407E64EB"/>
    <w:rsid w:val="62985530"/>
    <w:rsid w:val="77F41AAA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60"/>
        <o:r id="V:Rule7" type="connector" idref="#_x0000_s2072"/>
        <o:r id="V:Rule8" type="connector" idref="#_x0000_s2073"/>
        <o:r id="V:Rule9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93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83873AB9B51F40C39B4DF63A17BDEB62</vt:lpwstr>
  </property>
</Properties>
</file>