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拖拉机、联合收割机</w:t>
      </w:r>
      <w:r>
        <w:rPr>
          <w:rFonts w:hint="eastAsia" w:ascii="黑体" w:hAnsi="黑体" w:eastAsia="黑体"/>
          <w:sz w:val="44"/>
          <w:szCs w:val="44"/>
          <w:lang w:eastAsia="zh-CN"/>
        </w:rPr>
        <w:t>注销</w:t>
      </w: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登记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9.05pt;height:51.75pt;width:0.05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1.45pt;margin-top:444.95pt;height:73.5pt;width:213.75pt;z-index:25167257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对《行驶证》予以注销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848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0528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19AD7A89"/>
    <w:rsid w:val="1BCC28DF"/>
    <w:rsid w:val="2D9B39DD"/>
    <w:rsid w:val="3C051664"/>
    <w:rsid w:val="407E64EB"/>
    <w:rsid w:val="62985530"/>
    <w:rsid w:val="654A64C5"/>
    <w:rsid w:val="6BF544FC"/>
    <w:rsid w:val="77F41AAA"/>
    <w:rsid w:val="7A7A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60"/>
        <o:r id="V:Rule5" type="connector" idref="#_x0000_s2072"/>
        <o:r id="V:Rule6" type="connector" idref="#_x0000_s2073"/>
        <o:r id="V:Rule7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93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2021-07-13T08:34:28Z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83873AB9B51F40C39B4DF63A17BDEB62</vt:lpwstr>
  </property>
</Properties>
</file>