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95pt;margin-top:147.6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1.35pt;margin-top:302.55pt;height:86.25pt;width:105pt;z-index:25166950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需要现场勘验或听证、公示等特殊环节的，需完成现场勘验、听证、公示等特殊环节</w:t>
                  </w:r>
                </w:p>
                <w:p/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公路超限运输许可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3.75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颁发《超限运输通行证》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对提交材料进行审核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</w:rPr>
                    <w:t>并</w:t>
                  </w:r>
                  <w:r>
                    <w:rPr>
                      <w:rFonts w:hint="eastAsia"/>
                      <w:lang w:eastAsia="zh-CN"/>
                    </w:rPr>
                    <w:t>结合现场勘验意见</w:t>
                  </w:r>
                  <w:r>
                    <w:rPr>
                      <w:rFonts w:hint="eastAsia"/>
                    </w:rPr>
                    <w:t>作出审查意见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事项流程图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DEF3F75"/>
    <w:rsid w:val="33107A21"/>
    <w:rsid w:val="4B85617C"/>
    <w:rsid w:val="735D561A"/>
    <w:rsid w:val="7AE5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68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2018-05-22T00:50:00Z</cp:lastPrinted>
  <dcterms:modified xsi:type="dcterms:W3CDTF">2018-12-07T07:53:15Z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